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3C" w:rsidRPr="00AE3431" w:rsidRDefault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 w:rsidP="00907E3C">
      <w:pPr>
        <w:tabs>
          <w:tab w:val="left" w:pos="554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31">
        <w:rPr>
          <w:rFonts w:ascii="Times New Roman" w:hAnsi="Times New Roman" w:cs="Times New Roman"/>
          <w:sz w:val="24"/>
          <w:szCs w:val="24"/>
        </w:rPr>
        <w:t>Assignment #2</w:t>
      </w:r>
    </w:p>
    <w:p w:rsidR="00907E3C" w:rsidRPr="00AE3431" w:rsidRDefault="00421D29" w:rsidP="00907E3C">
      <w:pPr>
        <w:tabs>
          <w:tab w:val="left" w:pos="554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31">
        <w:rPr>
          <w:rFonts w:ascii="Times New Roman" w:hAnsi="Times New Roman" w:cs="Times New Roman"/>
          <w:sz w:val="24"/>
          <w:szCs w:val="24"/>
        </w:rPr>
        <w:t>Conservative</w:t>
      </w:r>
      <w:r w:rsidR="00907E3C" w:rsidRPr="00AE3431">
        <w:rPr>
          <w:rFonts w:ascii="Times New Roman" w:hAnsi="Times New Roman" w:cs="Times New Roman"/>
          <w:sz w:val="24"/>
          <w:szCs w:val="24"/>
        </w:rPr>
        <w:t xml:space="preserve"> vs. Progressive View of Education</w:t>
      </w:r>
    </w:p>
    <w:p w:rsidR="00907E3C" w:rsidRPr="00AE3431" w:rsidRDefault="00907E3C" w:rsidP="00907E3C">
      <w:pPr>
        <w:tabs>
          <w:tab w:val="left" w:pos="554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431">
        <w:rPr>
          <w:rFonts w:ascii="Times New Roman" w:hAnsi="Times New Roman" w:cs="Times New Roman"/>
          <w:sz w:val="24"/>
          <w:szCs w:val="24"/>
        </w:rPr>
        <w:t>Douglas J. Koch</w:t>
      </w:r>
    </w:p>
    <w:p w:rsidR="00907E3C" w:rsidRPr="00AE3431" w:rsidRDefault="00907E3C" w:rsidP="00907E3C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</w:p>
    <w:p w:rsidR="00AE3431" w:rsidRDefault="00AE3431">
      <w:pPr>
        <w:rPr>
          <w:rFonts w:ascii="Times New Roman" w:hAnsi="Times New Roman" w:cs="Times New Roman"/>
          <w:sz w:val="24"/>
          <w:szCs w:val="24"/>
        </w:rPr>
      </w:pPr>
    </w:p>
    <w:p w:rsidR="00907E3C" w:rsidRPr="00AE3431" w:rsidRDefault="00907E3C">
      <w:pPr>
        <w:rPr>
          <w:rFonts w:ascii="Times New Roman" w:hAnsi="Times New Roman" w:cs="Times New Roman"/>
          <w:sz w:val="24"/>
          <w:szCs w:val="24"/>
        </w:rPr>
      </w:pPr>
      <w:r w:rsidRPr="00AE343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3609"/>
        <w:gridCol w:w="3874"/>
      </w:tblGrid>
      <w:tr w:rsidR="00907E3C" w:rsidRPr="00AE3431" w:rsidTr="008275E3">
        <w:trPr>
          <w:tblHeader/>
        </w:trPr>
        <w:tc>
          <w:tcPr>
            <w:tcW w:w="1705" w:type="dxa"/>
          </w:tcPr>
          <w:p w:rsidR="00907E3C" w:rsidRPr="00AE3431" w:rsidRDefault="00907E3C" w:rsidP="00AE3431">
            <w:pPr>
              <w:tabs>
                <w:tab w:val="left" w:pos="5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Idea</w:t>
            </w:r>
          </w:p>
        </w:tc>
        <w:tc>
          <w:tcPr>
            <w:tcW w:w="3609" w:type="dxa"/>
          </w:tcPr>
          <w:p w:rsidR="00907E3C" w:rsidRPr="00AE3431" w:rsidRDefault="00907E3C" w:rsidP="00907E3C">
            <w:pPr>
              <w:tabs>
                <w:tab w:val="left" w:pos="5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E. D. Hirsch</w:t>
            </w:r>
            <w:r w:rsidR="006A31FA" w:rsidRPr="00AE3431">
              <w:rPr>
                <w:rFonts w:ascii="Times New Roman" w:hAnsi="Times New Roman" w:cs="Times New Roman"/>
                <w:sz w:val="24"/>
                <w:szCs w:val="24"/>
              </w:rPr>
              <w:t>, Jr.</w:t>
            </w:r>
          </w:p>
          <w:p w:rsidR="006A31FA" w:rsidRPr="00AE3431" w:rsidRDefault="006A31FA" w:rsidP="006A31FA">
            <w:pPr>
              <w:tabs>
                <w:tab w:val="left" w:pos="5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(conservative view)</w:t>
            </w:r>
          </w:p>
        </w:tc>
        <w:tc>
          <w:tcPr>
            <w:tcW w:w="3874" w:type="dxa"/>
          </w:tcPr>
          <w:p w:rsidR="00907E3C" w:rsidRPr="00AE3431" w:rsidRDefault="00907E3C" w:rsidP="00907E3C">
            <w:pPr>
              <w:tabs>
                <w:tab w:val="left" w:pos="5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John Dewey</w:t>
            </w:r>
          </w:p>
          <w:p w:rsidR="006A31FA" w:rsidRPr="00AE3431" w:rsidRDefault="006A31FA" w:rsidP="00907E3C">
            <w:pPr>
              <w:tabs>
                <w:tab w:val="left" w:pos="55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(progressive view)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907E3C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Core knowledge</w:t>
            </w:r>
          </w:p>
        </w:tc>
        <w:tc>
          <w:tcPr>
            <w:tcW w:w="3609" w:type="dxa"/>
          </w:tcPr>
          <w:p w:rsidR="00907E3C" w:rsidRPr="00AE3431" w:rsidRDefault="00230394" w:rsidP="00230394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fixed set of content taught across schools per grades is a way to ensure fairness within a society.  This core content does not exclude the inclusion of additional materials as it may be made up of approximately fifty percent of the material covered.</w:t>
            </w:r>
            <w:r w:rsidR="00D21BB7">
              <w:rPr>
                <w:rFonts w:ascii="Times New Roman" w:hAnsi="Times New Roman" w:cs="Times New Roman"/>
                <w:sz w:val="24"/>
                <w:szCs w:val="24"/>
              </w:rPr>
              <w:t xml:space="preserve"> (Hirsch, 1992)</w:t>
            </w:r>
          </w:p>
        </w:tc>
        <w:tc>
          <w:tcPr>
            <w:tcW w:w="3874" w:type="dxa"/>
          </w:tcPr>
          <w:p w:rsidR="00AE3431" w:rsidRDefault="00AE3431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Educators are considered leaders in the field of education and should be given the opportunity to teach utilizing topics and tools that spark the minds of children.</w:t>
            </w:r>
          </w:p>
          <w:p w:rsidR="003D5F06" w:rsidRPr="00AE3431" w:rsidRDefault="003D5F06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Tampio</w:t>
            </w:r>
            <w:proofErr w:type="spellEnd"/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, 2016)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907E3C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Intellectual capital</w:t>
            </w:r>
          </w:p>
        </w:tc>
        <w:tc>
          <w:tcPr>
            <w:tcW w:w="3609" w:type="dxa"/>
          </w:tcPr>
          <w:p w:rsidR="00907E3C" w:rsidRPr="00AE3431" w:rsidRDefault="003505C7" w:rsidP="00A31A92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</w:t>
            </w:r>
            <w:r w:rsidR="00A31A92">
              <w:rPr>
                <w:rFonts w:ascii="Times New Roman" w:hAnsi="Times New Roman" w:cs="Times New Roman"/>
                <w:sz w:val="24"/>
                <w:szCs w:val="24"/>
              </w:rPr>
              <w:t xml:space="preserve"> or human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apital is the set of skills and knowledge a person has at any one particular time.  These can increase and decrease over time and are less important than</w:t>
            </w:r>
            <w:r w:rsidR="00A31A92">
              <w:rPr>
                <w:rFonts w:ascii="Times New Roman" w:hAnsi="Times New Roman" w:cs="Times New Roman"/>
                <w:sz w:val="24"/>
                <w:szCs w:val="24"/>
              </w:rPr>
              <w:t xml:space="preserve"> developing tools for future learning. (Coppola, 2011)</w:t>
            </w:r>
          </w:p>
        </w:tc>
        <w:tc>
          <w:tcPr>
            <w:tcW w:w="3874" w:type="dxa"/>
          </w:tcPr>
          <w:p w:rsidR="00907E3C" w:rsidRPr="00AE3431" w:rsidRDefault="00095A7E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Dewey advocated for teaching and learning that allowed one to be self-aware and independent, or adaptable to environments and situations that are not predictable.  Students were taught in a manner that didn’t view them as a commodity.  (Roth, 2012)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6A31FA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Learning builds on learning</w:t>
            </w:r>
          </w:p>
        </w:tc>
        <w:tc>
          <w:tcPr>
            <w:tcW w:w="3609" w:type="dxa"/>
          </w:tcPr>
          <w:p w:rsidR="00907E3C" w:rsidRPr="00AE3431" w:rsidRDefault="00884669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builds on learning </w:t>
            </w:r>
            <w:r w:rsidR="004206B6">
              <w:rPr>
                <w:rFonts w:ascii="Times New Roman" w:hAnsi="Times New Roman" w:cs="Times New Roman"/>
                <w:sz w:val="24"/>
                <w:szCs w:val="24"/>
              </w:rPr>
              <w:t>is the idea that the process of learning takes effort.  Tasks such as repetitive practice and drills are a necessary part of the process. (Coppola, 2011)</w:t>
            </w:r>
          </w:p>
        </w:tc>
        <w:tc>
          <w:tcPr>
            <w:tcW w:w="3874" w:type="dxa"/>
          </w:tcPr>
          <w:p w:rsidR="00907E3C" w:rsidRPr="00AE3431" w:rsidRDefault="005A19C0" w:rsidP="005A19C0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John Dewey, experience is key to educational philosophy and believes there is a combination of active (trying) and passive (undergoing) component to learning.  A learner can go back and forth between the two.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8275E3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</w:t>
            </w:r>
          </w:p>
        </w:tc>
        <w:tc>
          <w:tcPr>
            <w:tcW w:w="3609" w:type="dxa"/>
          </w:tcPr>
          <w:p w:rsidR="00907E3C" w:rsidRPr="00AE3431" w:rsidRDefault="00DA73F9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everyone with the best opportunity can be achieved through a process of a common curriculum.  This allows those that are disadvantaged to have an equal chance as those that are more privileged. (Coppola, 2011)</w:t>
            </w:r>
          </w:p>
        </w:tc>
        <w:tc>
          <w:tcPr>
            <w:tcW w:w="3874" w:type="dxa"/>
          </w:tcPr>
          <w:p w:rsidR="00907E3C" w:rsidRPr="00AE3431" w:rsidRDefault="00C4761F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could be viewed that that by allowing society, large or, more particularly small, allows for a greater level of </w:t>
            </w:r>
            <w:r w:rsidR="00C55640">
              <w:rPr>
                <w:rFonts w:ascii="Times New Roman" w:hAnsi="Times New Roman" w:cs="Times New Roman"/>
                <w:sz w:val="24"/>
                <w:szCs w:val="24"/>
              </w:rPr>
              <w:t>self-determination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less oppression by a more powerful interested party.  So, Dewey’s view may be more democratic in nature and allow for more opportunity for society as a whole. (Davis, 2016)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907E3C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Achievement Gap</w:t>
            </w:r>
          </w:p>
        </w:tc>
        <w:tc>
          <w:tcPr>
            <w:tcW w:w="3609" w:type="dxa"/>
          </w:tcPr>
          <w:p w:rsidR="00907E3C" w:rsidRPr="00AE3431" w:rsidRDefault="0054495B" w:rsidP="0014469D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are different measurable gaps, such as academic performance, language, etc., across different segments of the population.  These can be addressed or the effects mitigated through the implementation of </w:t>
            </w:r>
            <w:r w:rsidR="00CF6DEB">
              <w:rPr>
                <w:rFonts w:ascii="Times New Roman" w:hAnsi="Times New Roman" w:cs="Times New Roman"/>
                <w:sz w:val="24"/>
                <w:szCs w:val="24"/>
              </w:rPr>
              <w:t>an early childhood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curriculum that is </w:t>
            </w:r>
            <w:r w:rsidR="00CF6DEB">
              <w:rPr>
                <w:rFonts w:ascii="Times New Roman" w:hAnsi="Times New Roman" w:cs="Times New Roman"/>
                <w:sz w:val="24"/>
                <w:szCs w:val="24"/>
              </w:rPr>
              <w:t>consistent acr</w:t>
            </w:r>
            <w:r w:rsidR="0014469D">
              <w:rPr>
                <w:rFonts w:ascii="Times New Roman" w:hAnsi="Times New Roman" w:cs="Times New Roman"/>
                <w:sz w:val="24"/>
                <w:szCs w:val="24"/>
              </w:rPr>
              <w:t xml:space="preserve">oss society.  This process allows for the continuous ‘normalization’ of student </w:t>
            </w:r>
            <w:r w:rsidR="0014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knowledge in a democratic manner.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(Hirsch, 2007)</w:t>
            </w:r>
          </w:p>
        </w:tc>
        <w:tc>
          <w:tcPr>
            <w:tcW w:w="3874" w:type="dxa"/>
          </w:tcPr>
          <w:p w:rsidR="00907E3C" w:rsidRPr="00AE3431" w:rsidRDefault="002E1304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Dewey’s view of education is that of a continuing and social process and is dependent up on the environment in which they learn.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this is the case, then those in systems with fewer or poorer resources may be less likely to have the same level of achievement, thus perpetuating the achievement gap.</w:t>
            </w:r>
            <w:r w:rsidR="00BD1340">
              <w:rPr>
                <w:rFonts w:ascii="Times New Roman" w:hAnsi="Times New Roman" w:cs="Times New Roman"/>
                <w:sz w:val="24"/>
                <w:szCs w:val="24"/>
              </w:rPr>
              <w:t xml:space="preserve"> (Davis, 2016)</w:t>
            </w:r>
          </w:p>
        </w:tc>
      </w:tr>
      <w:tr w:rsidR="00907E3C" w:rsidRPr="00AE3431" w:rsidTr="00230394">
        <w:tc>
          <w:tcPr>
            <w:tcW w:w="1705" w:type="dxa"/>
          </w:tcPr>
          <w:p w:rsidR="00907E3C" w:rsidRPr="00AE3431" w:rsidRDefault="006A31FA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Role of society</w:t>
            </w:r>
          </w:p>
        </w:tc>
        <w:tc>
          <w:tcPr>
            <w:tcW w:w="3609" w:type="dxa"/>
          </w:tcPr>
          <w:p w:rsidR="00907E3C" w:rsidRPr="00AE3431" w:rsidRDefault="00884669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has a role in offering a standard of education to the population and the responsibility is upon parents and teachers to make sure this takes place.  (Coppola, 2011)</w:t>
            </w:r>
          </w:p>
        </w:tc>
        <w:tc>
          <w:tcPr>
            <w:tcW w:w="3874" w:type="dxa"/>
          </w:tcPr>
          <w:p w:rsidR="00907E3C" w:rsidRPr="00AE3431" w:rsidRDefault="00744C4D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Society is made up of individuals and the both should work together to strike a balance to meet the current needs of both.  Education should look to meet the needs of the current individual and society not potential future needs.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2012)</w:t>
            </w:r>
          </w:p>
        </w:tc>
      </w:tr>
      <w:tr w:rsidR="006A31FA" w:rsidRPr="00AE3431" w:rsidTr="00230394">
        <w:tc>
          <w:tcPr>
            <w:tcW w:w="1705" w:type="dxa"/>
          </w:tcPr>
          <w:p w:rsidR="006A31FA" w:rsidRPr="00AE3431" w:rsidRDefault="006A31FA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3431">
              <w:rPr>
                <w:rFonts w:ascii="Times New Roman" w:hAnsi="Times New Roman" w:cs="Times New Roman"/>
                <w:sz w:val="24"/>
                <w:szCs w:val="24"/>
              </w:rPr>
              <w:t>Theory of Consensus</w:t>
            </w:r>
          </w:p>
        </w:tc>
        <w:tc>
          <w:tcPr>
            <w:tcW w:w="3609" w:type="dxa"/>
          </w:tcPr>
          <w:p w:rsidR="006A31FA" w:rsidRPr="00AE3431" w:rsidRDefault="000F70F9" w:rsidP="000F70F9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Having a consensus within a society on how to provide education to its children is difficult and often divided among party lines and confounded by technical terms not commonly understood by non-educators.  </w:t>
            </w:r>
          </w:p>
        </w:tc>
        <w:tc>
          <w:tcPr>
            <w:tcW w:w="3874" w:type="dxa"/>
          </w:tcPr>
          <w:p w:rsidR="006A31FA" w:rsidRPr="00AE3431" w:rsidRDefault="001B2817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Dewey’s philosophy on education was more hands on and focused on the student as a learner.  A student should be able to be presented with a problem and self-direct learning.  This would allow for a very </w:t>
            </w:r>
            <w:r w:rsidR="00CD4F9E">
              <w:rPr>
                <w:rFonts w:ascii="Times New Roman" w:hAnsi="Times New Roman" w:cs="Times New Roman"/>
                <w:sz w:val="24"/>
                <w:szCs w:val="24"/>
              </w:rPr>
              <w:t>individualized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approach in contrast to </w:t>
            </w:r>
            <w:r w:rsidR="003F79FB">
              <w:rPr>
                <w:rFonts w:ascii="Times New Roman" w:hAnsi="Times New Roman" w:cs="Times New Roman"/>
                <w:sz w:val="24"/>
                <w:szCs w:val="24"/>
              </w:rPr>
              <w:t xml:space="preserve">one that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more standardized and society approved</w:t>
            </w:r>
            <w:r w:rsidR="00CD4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F9E">
              <w:rPr>
                <w:rFonts w:ascii="Times New Roman" w:hAnsi="Times New Roman" w:cs="Times New Roman"/>
                <w:sz w:val="24"/>
                <w:szCs w:val="24"/>
              </w:rPr>
              <w:t>(Stern, 2014)</w:t>
            </w:r>
          </w:p>
        </w:tc>
      </w:tr>
      <w:tr w:rsidR="00A31A92" w:rsidRPr="00AE3431" w:rsidTr="00230394">
        <w:tc>
          <w:tcPr>
            <w:tcW w:w="1705" w:type="dxa"/>
          </w:tcPr>
          <w:p w:rsidR="00A31A92" w:rsidRPr="00AE3431" w:rsidRDefault="00A31A92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the teacher</w:t>
            </w:r>
          </w:p>
        </w:tc>
        <w:tc>
          <w:tcPr>
            <w:tcW w:w="3609" w:type="dxa"/>
          </w:tcPr>
          <w:p w:rsidR="00A31A92" w:rsidRPr="00AE3431" w:rsidRDefault="00D4699C" w:rsidP="00D4699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Hirsch is in favor of whole class instruction so as to not favor one student over another coupled with a core content specific for a certain grade level.  Teachers should reject the idea of natural or innate ability to focus on this core content. (Coppola, 2011)</w:t>
            </w:r>
          </w:p>
        </w:tc>
        <w:tc>
          <w:tcPr>
            <w:tcW w:w="3874" w:type="dxa"/>
          </w:tcPr>
          <w:p w:rsidR="00A31A92" w:rsidRPr="00AE3431" w:rsidRDefault="00DA73F9" w:rsidP="00907E3C">
            <w:pPr>
              <w:tabs>
                <w:tab w:val="left" w:pos="5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Dewey’s view of teacher roles changed over time.  Early in his career, he felt that the role of teacher was more spiritual and lofty including training and formation of a socially just citizen.  Later in his career, he had a more practical view but still had teachers in a key social position in society. (</w:t>
            </w:r>
            <w:proofErr w:type="spellStart"/>
            <w:r w:rsidRPr="00DA73F9">
              <w:rPr>
                <w:rFonts w:ascii="Times New Roman" w:hAnsi="Times New Roman" w:cs="Times New Roman"/>
                <w:sz w:val="24"/>
                <w:szCs w:val="24"/>
              </w:rPr>
              <w:t>Nebeker</w:t>
            </w:r>
            <w:proofErr w:type="spellEnd"/>
            <w:r w:rsidRPr="00DA73F9">
              <w:rPr>
                <w:rFonts w:ascii="Times New Roman" w:hAnsi="Times New Roman" w:cs="Times New Roman"/>
                <w:sz w:val="24"/>
                <w:szCs w:val="24"/>
              </w:rPr>
              <w:t>, 2013)</w:t>
            </w:r>
          </w:p>
        </w:tc>
      </w:tr>
    </w:tbl>
    <w:p w:rsidR="00907E3C" w:rsidRPr="00AE3431" w:rsidRDefault="00907E3C" w:rsidP="00907E3C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</w:p>
    <w:p w:rsidR="003D5F06" w:rsidRPr="00AE3431" w:rsidRDefault="003D5F06" w:rsidP="00907E3C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</w:p>
    <w:p w:rsidR="00421D29" w:rsidRDefault="00421D2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D5F06" w:rsidRPr="00142A80" w:rsidRDefault="003D5F06" w:rsidP="003D5F06">
      <w:pPr>
        <w:pStyle w:val="NormalWeb"/>
        <w:shd w:val="clear" w:color="auto" w:fill="FFFFFF"/>
        <w:spacing w:before="0" w:beforeAutospacing="0" w:after="173" w:afterAutospacing="0" w:line="480" w:lineRule="auto"/>
        <w:jc w:val="center"/>
      </w:pPr>
      <w:r w:rsidRPr="00142A80">
        <w:lastRenderedPageBreak/>
        <w:t>References</w:t>
      </w:r>
    </w:p>
    <w:p w:rsidR="00744C4D" w:rsidRPr="00142A80" w:rsidRDefault="00744C4D" w:rsidP="00744C4D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proofErr w:type="spellStart"/>
      <w:r w:rsidRPr="00142A80">
        <w:t>Berding</w:t>
      </w:r>
      <w:proofErr w:type="spellEnd"/>
      <w:r w:rsidRPr="00142A80">
        <w:t xml:space="preserve">, J. W. A. (2012). Towards a flexible curriculum: John </w:t>
      </w:r>
      <w:proofErr w:type="spellStart"/>
      <w:r w:rsidRPr="00142A80">
        <w:t>dewey's</w:t>
      </w:r>
      <w:proofErr w:type="spellEnd"/>
      <w:r w:rsidRPr="00142A80">
        <w:t xml:space="preserve"> theory of experience and learning.</w:t>
      </w:r>
      <w:r w:rsidRPr="00142A80">
        <w:rPr>
          <w:i/>
          <w:iCs/>
        </w:rPr>
        <w:t> Education and Culture, 14</w:t>
      </w:r>
      <w:r w:rsidRPr="00142A80">
        <w:t>(1), 5. Retrieved from http://docs.lib.purdue.edu/eandc/vol14/iss1/art5/</w:t>
      </w:r>
    </w:p>
    <w:p w:rsidR="002E1304" w:rsidRPr="00BD1340" w:rsidRDefault="002E1304" w:rsidP="00D21BB7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r w:rsidRPr="00BD1340">
        <w:rPr>
          <w:color w:val="222222"/>
          <w:shd w:val="clear" w:color="auto" w:fill="FFFFFF"/>
        </w:rPr>
        <w:t>Davis, B. (2016). Education, Oppression, and Democracy. </w:t>
      </w:r>
      <w:proofErr w:type="spellStart"/>
      <w:r w:rsidRPr="00BD1340">
        <w:rPr>
          <w:i/>
          <w:iCs/>
          <w:color w:val="222222"/>
          <w:shd w:val="clear" w:color="auto" w:fill="FFFFFF"/>
        </w:rPr>
        <w:t>Aisthesis</w:t>
      </w:r>
      <w:proofErr w:type="spellEnd"/>
      <w:r w:rsidRPr="00BD1340">
        <w:rPr>
          <w:i/>
          <w:iCs/>
          <w:color w:val="222222"/>
          <w:shd w:val="clear" w:color="auto" w:fill="FFFFFF"/>
        </w:rPr>
        <w:t>: Honors Student Journal</w:t>
      </w:r>
      <w:r w:rsidRPr="00BD1340">
        <w:rPr>
          <w:color w:val="222222"/>
          <w:shd w:val="clear" w:color="auto" w:fill="FFFFFF"/>
        </w:rPr>
        <w:t>, </w:t>
      </w:r>
      <w:r w:rsidRPr="00BD1340">
        <w:rPr>
          <w:i/>
          <w:iCs/>
          <w:color w:val="222222"/>
          <w:shd w:val="clear" w:color="auto" w:fill="FFFFFF"/>
        </w:rPr>
        <w:t>7</w:t>
      </w:r>
      <w:r w:rsidRPr="00BD1340">
        <w:rPr>
          <w:color w:val="222222"/>
          <w:shd w:val="clear" w:color="auto" w:fill="FFFFFF"/>
        </w:rPr>
        <w:t>, 1-10.</w:t>
      </w:r>
    </w:p>
    <w:p w:rsidR="00D21BB7" w:rsidRPr="00142A80" w:rsidRDefault="00D21BB7" w:rsidP="00D21BB7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r w:rsidRPr="00142A80">
        <w:t>Coppola, J. (2011). T</w:t>
      </w:r>
      <w:r w:rsidR="00142A80" w:rsidRPr="00142A80">
        <w:t>he educational theory of E. D. H</w:t>
      </w:r>
      <w:r w:rsidRPr="00142A80">
        <w:t>irsch. Retrieved from http://www.newfoundations.com/GALLERY/Hirsch.html</w:t>
      </w:r>
    </w:p>
    <w:p w:rsidR="0054495B" w:rsidRPr="00142A80" w:rsidRDefault="0054495B" w:rsidP="0054495B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r w:rsidRPr="00142A80">
        <w:t>Hirsch, E. D. (2007). </w:t>
      </w:r>
      <w:r w:rsidRPr="00142A80">
        <w:rPr>
          <w:i/>
          <w:iCs/>
        </w:rPr>
        <w:t>Narrowing the two achievement gaps.</w:t>
      </w:r>
      <w:r w:rsidRPr="00142A80">
        <w:t> (). Charlottesville, VA: Core Knowledge Foundation. Retrieved from https://3o83ip44005z3mk17t31679f-wpengine.netdna-ssl.com/wp-content/uploads/2017/01/EDH-narrowing-the-two-achievement-gaps.pdf</w:t>
      </w:r>
    </w:p>
    <w:p w:rsidR="00230394" w:rsidRPr="00142A80" w:rsidRDefault="00230394" w:rsidP="00230394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r w:rsidRPr="00142A80">
        <w:t>Hirsch, E. D. (1992). </w:t>
      </w:r>
      <w:r w:rsidRPr="00142A80">
        <w:rPr>
          <w:i/>
          <w:iCs/>
        </w:rPr>
        <w:t>Fairness and core knowledge</w:t>
      </w:r>
      <w:r w:rsidRPr="00142A80">
        <w:t>. Charlottesville, VA: The Core Knowledge Foundation. Retrieved from https://3o83ip44005z3mk17t31679f-wpengine.netdna-ssl.com/wp-content/uploads/2016/09/Hirsch-Fairness-and-Core-Knowledge.pdf</w:t>
      </w:r>
    </w:p>
    <w:p w:rsidR="00DA73F9" w:rsidRPr="00095A7E" w:rsidRDefault="00DA73F9" w:rsidP="00DA73F9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proofErr w:type="spellStart"/>
      <w:r w:rsidRPr="00142A80">
        <w:t>Nebeker</w:t>
      </w:r>
      <w:proofErr w:type="spellEnd"/>
      <w:r w:rsidRPr="00142A80">
        <w:t xml:space="preserve">, M. L. (2013). The teacher and society: John </w:t>
      </w:r>
      <w:proofErr w:type="spellStart"/>
      <w:r w:rsidRPr="00142A80">
        <w:t>dewey</w:t>
      </w:r>
      <w:proofErr w:type="spellEnd"/>
      <w:r w:rsidRPr="00142A80">
        <w:t xml:space="preserve"> and the experience of teachers.</w:t>
      </w:r>
      <w:r w:rsidRPr="00142A80">
        <w:rPr>
          <w:i/>
          <w:iCs/>
        </w:rPr>
        <w:t> Education and Culture, 18</w:t>
      </w:r>
      <w:r w:rsidRPr="00142A80">
        <w:t xml:space="preserve">(2), 3. Retrieved </w:t>
      </w:r>
      <w:r w:rsidRPr="00095A7E">
        <w:t>from </w:t>
      </w:r>
      <w:r w:rsidR="00095A7E" w:rsidRPr="00095A7E">
        <w:t>http://docs.lib.purdue.edu/eandc/vol18/iss2/art3/</w:t>
      </w:r>
    </w:p>
    <w:p w:rsidR="00095A7E" w:rsidRDefault="00095A7E" w:rsidP="00DA73F9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color w:val="222222"/>
          <w:shd w:val="clear" w:color="auto" w:fill="FFFFFF"/>
        </w:rPr>
      </w:pPr>
      <w:r w:rsidRPr="00095A7E">
        <w:rPr>
          <w:color w:val="222222"/>
          <w:shd w:val="clear" w:color="auto" w:fill="FFFFFF"/>
        </w:rPr>
        <w:t>Roth, M. S. (2012). Learning as freedom. </w:t>
      </w:r>
      <w:r w:rsidRPr="00095A7E">
        <w:rPr>
          <w:i/>
          <w:iCs/>
          <w:color w:val="222222"/>
          <w:shd w:val="clear" w:color="auto" w:fill="FFFFFF"/>
        </w:rPr>
        <w:t>The New York Times</w:t>
      </w:r>
      <w:r w:rsidRPr="00095A7E">
        <w:rPr>
          <w:color w:val="222222"/>
          <w:shd w:val="clear" w:color="auto" w:fill="FFFFFF"/>
        </w:rPr>
        <w:t>, A27.</w:t>
      </w:r>
    </w:p>
    <w:p w:rsidR="00DA398C" w:rsidRDefault="00DA398C" w:rsidP="00DA398C">
      <w:pPr>
        <w:pStyle w:val="NormalWeb"/>
        <w:shd w:val="clear" w:color="auto" w:fill="FFFFFF"/>
        <w:spacing w:before="0" w:beforeAutospacing="0" w:after="173" w:afterAutospacing="0" w:line="480" w:lineRule="auto"/>
        <w:jc w:val="center"/>
        <w:rPr>
          <w:rFonts w:ascii="Roboto" w:hAnsi="Roboto"/>
          <w:color w:val="53565A"/>
          <w:sz w:val="21"/>
          <w:szCs w:val="21"/>
        </w:rPr>
      </w:pPr>
      <w:r>
        <w:rPr>
          <w:rFonts w:ascii="Roboto" w:hAnsi="Roboto"/>
          <w:color w:val="53565A"/>
          <w:sz w:val="21"/>
          <w:szCs w:val="21"/>
        </w:rPr>
        <w:t>References</w:t>
      </w:r>
    </w:p>
    <w:p w:rsidR="00DA398C" w:rsidRPr="00DA398C" w:rsidRDefault="00DA398C" w:rsidP="00DA398C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</w:pPr>
      <w:r w:rsidRPr="00DA398C">
        <w:lastRenderedPageBreak/>
        <w:t xml:space="preserve">Stern, C. (2014, September 19,). A response to john </w:t>
      </w:r>
      <w:proofErr w:type="spellStart"/>
      <w:r w:rsidRPr="00DA398C">
        <w:t>dewey's</w:t>
      </w:r>
      <w:proofErr w:type="spellEnd"/>
      <w:r w:rsidRPr="00DA398C">
        <w:t xml:space="preserve"> experience and education. Retrieved from </w:t>
      </w:r>
      <w:r w:rsidRPr="00DA398C">
        <w:t>http://www.rehobothjournal.org/response-john-dewey/</w:t>
      </w:r>
    </w:p>
    <w:p w:rsidR="0054495B" w:rsidRPr="00DA398C" w:rsidRDefault="00D21BB7" w:rsidP="0054495B">
      <w:pPr>
        <w:pStyle w:val="NormalWeb"/>
        <w:shd w:val="clear" w:color="auto" w:fill="FFFFFF"/>
        <w:spacing w:before="0" w:beforeAutospacing="0" w:after="173" w:afterAutospacing="0" w:line="480" w:lineRule="auto"/>
        <w:ind w:left="450" w:hanging="450"/>
        <w:rPr>
          <w:rStyle w:val="Hyperlink"/>
          <w:color w:val="auto"/>
        </w:rPr>
      </w:pPr>
      <w:proofErr w:type="spellStart"/>
      <w:r w:rsidRPr="00DA398C">
        <w:t>Tampio</w:t>
      </w:r>
      <w:proofErr w:type="spellEnd"/>
      <w:r w:rsidRPr="00DA398C">
        <w:t xml:space="preserve">, N. (2016). In praise of </w:t>
      </w:r>
      <w:proofErr w:type="spellStart"/>
      <w:r w:rsidRPr="00DA398C">
        <w:t>dewey</w:t>
      </w:r>
      <w:proofErr w:type="spellEnd"/>
      <w:r w:rsidRPr="00DA398C">
        <w:t>. Retrieved from https://aeon.co/essays/dewey-knew-how-to-teach-democracy-and-we-must-not-forget-it</w:t>
      </w:r>
    </w:p>
    <w:p w:rsidR="003D5F06" w:rsidRPr="00142A80" w:rsidRDefault="003D5F06" w:rsidP="00907E3C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5F06" w:rsidRPr="00142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AA" w:rsidRDefault="00BC5EAA" w:rsidP="00907E3C">
      <w:pPr>
        <w:spacing w:after="0" w:line="240" w:lineRule="auto"/>
      </w:pPr>
      <w:r>
        <w:separator/>
      </w:r>
    </w:p>
  </w:endnote>
  <w:endnote w:type="continuationSeparator" w:id="0">
    <w:p w:rsidR="00BC5EAA" w:rsidRDefault="00BC5EAA" w:rsidP="00907E3C">
      <w:pPr>
        <w:spacing w:after="0" w:line="240" w:lineRule="auto"/>
      </w:pPr>
      <w:r>
        <w:continuationSeparator/>
      </w:r>
    </w:p>
  </w:endnote>
  <w:endnote w:type="continuationNotice" w:id="1">
    <w:p w:rsidR="00BC5EAA" w:rsidRDefault="00BC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1" w:rsidRDefault="00AE3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1" w:rsidRDefault="00AE3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1" w:rsidRDefault="00AE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AA" w:rsidRDefault="00BC5EAA" w:rsidP="00907E3C">
      <w:pPr>
        <w:spacing w:after="0" w:line="240" w:lineRule="auto"/>
      </w:pPr>
      <w:r>
        <w:separator/>
      </w:r>
    </w:p>
  </w:footnote>
  <w:footnote w:type="continuationSeparator" w:id="0">
    <w:p w:rsidR="00BC5EAA" w:rsidRDefault="00BC5EAA" w:rsidP="00907E3C">
      <w:pPr>
        <w:spacing w:after="0" w:line="240" w:lineRule="auto"/>
      </w:pPr>
      <w:r>
        <w:continuationSeparator/>
      </w:r>
    </w:p>
  </w:footnote>
  <w:footnote w:type="continuationNotice" w:id="1">
    <w:p w:rsidR="00BC5EAA" w:rsidRDefault="00BC5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1" w:rsidRDefault="00AE3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3C" w:rsidRPr="00907E3C" w:rsidRDefault="00907E3C">
    <w:pPr>
      <w:pStyle w:val="Header"/>
      <w:rPr>
        <w:rFonts w:ascii="Times New Roman" w:hAnsi="Times New Roman" w:cs="Times New Roman"/>
        <w:sz w:val="24"/>
        <w:szCs w:val="24"/>
      </w:rPr>
    </w:pPr>
    <w:r w:rsidRPr="00907E3C">
      <w:rPr>
        <w:rFonts w:ascii="Times New Roman" w:hAnsi="Times New Roman" w:cs="Times New Roman"/>
        <w:sz w:val="24"/>
        <w:szCs w:val="24"/>
      </w:rPr>
      <w:t>Running Head: Assignment #2 – Conservative vs. Progressive View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31" w:rsidRDefault="00AE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461"/>
    <w:multiLevelType w:val="hybridMultilevel"/>
    <w:tmpl w:val="A0B2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rQ0NDAztTSytDRQ0lEKTi0uzszPAykwrAUAbkg8NCwAAAA="/>
  </w:docVars>
  <w:rsids>
    <w:rsidRoot w:val="00253851"/>
    <w:rsid w:val="0008053B"/>
    <w:rsid w:val="00095A7E"/>
    <w:rsid w:val="000F70F9"/>
    <w:rsid w:val="0013272A"/>
    <w:rsid w:val="00142A80"/>
    <w:rsid w:val="0014469D"/>
    <w:rsid w:val="001B2817"/>
    <w:rsid w:val="001B76D3"/>
    <w:rsid w:val="00207A5E"/>
    <w:rsid w:val="00230394"/>
    <w:rsid w:val="00253851"/>
    <w:rsid w:val="00281AC1"/>
    <w:rsid w:val="002E1304"/>
    <w:rsid w:val="002E5E8A"/>
    <w:rsid w:val="0034696A"/>
    <w:rsid w:val="003505C7"/>
    <w:rsid w:val="003B7BE1"/>
    <w:rsid w:val="003D1D43"/>
    <w:rsid w:val="003D5F06"/>
    <w:rsid w:val="003F79FB"/>
    <w:rsid w:val="004205D6"/>
    <w:rsid w:val="004206B6"/>
    <w:rsid w:val="00421D29"/>
    <w:rsid w:val="00492793"/>
    <w:rsid w:val="005163CA"/>
    <w:rsid w:val="0054495B"/>
    <w:rsid w:val="005842F9"/>
    <w:rsid w:val="005A19C0"/>
    <w:rsid w:val="005B31EF"/>
    <w:rsid w:val="006A31FA"/>
    <w:rsid w:val="006D38FB"/>
    <w:rsid w:val="00744C4D"/>
    <w:rsid w:val="00791CAB"/>
    <w:rsid w:val="007F7018"/>
    <w:rsid w:val="0082022D"/>
    <w:rsid w:val="008275E3"/>
    <w:rsid w:val="00846960"/>
    <w:rsid w:val="00884669"/>
    <w:rsid w:val="00906F1A"/>
    <w:rsid w:val="00907E3C"/>
    <w:rsid w:val="00983E5D"/>
    <w:rsid w:val="009A16C2"/>
    <w:rsid w:val="009D21C1"/>
    <w:rsid w:val="009D606D"/>
    <w:rsid w:val="00A165B8"/>
    <w:rsid w:val="00A31A92"/>
    <w:rsid w:val="00A349D2"/>
    <w:rsid w:val="00A65362"/>
    <w:rsid w:val="00AD352C"/>
    <w:rsid w:val="00AE3431"/>
    <w:rsid w:val="00AF7A8F"/>
    <w:rsid w:val="00BA6ADF"/>
    <w:rsid w:val="00BC5EAA"/>
    <w:rsid w:val="00BC60BD"/>
    <w:rsid w:val="00BD1340"/>
    <w:rsid w:val="00C061F2"/>
    <w:rsid w:val="00C14873"/>
    <w:rsid w:val="00C43C91"/>
    <w:rsid w:val="00C4761F"/>
    <w:rsid w:val="00C55640"/>
    <w:rsid w:val="00CD4F9E"/>
    <w:rsid w:val="00CF6DEB"/>
    <w:rsid w:val="00D21BB7"/>
    <w:rsid w:val="00D4699C"/>
    <w:rsid w:val="00D5089E"/>
    <w:rsid w:val="00DA398C"/>
    <w:rsid w:val="00DA73F9"/>
    <w:rsid w:val="00F042F9"/>
    <w:rsid w:val="00F4386E"/>
    <w:rsid w:val="00F81424"/>
    <w:rsid w:val="00F83435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5FCF"/>
  <w15:chartTrackingRefBased/>
  <w15:docId w15:val="{648CAFA1-C877-4792-ADB1-084D77DB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3C"/>
  </w:style>
  <w:style w:type="paragraph" w:styleId="Footer">
    <w:name w:val="footer"/>
    <w:basedOn w:val="Normal"/>
    <w:link w:val="FooterChar"/>
    <w:uiPriority w:val="99"/>
    <w:unhideWhenUsed/>
    <w:rsid w:val="009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3C"/>
  </w:style>
  <w:style w:type="table" w:styleId="TableGrid">
    <w:name w:val="Table Grid"/>
    <w:basedOn w:val="TableNormal"/>
    <w:uiPriority w:val="39"/>
    <w:rsid w:val="0090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F06"/>
    <w:rPr>
      <w:color w:val="0000FF"/>
      <w:u w:val="single"/>
    </w:rPr>
  </w:style>
  <w:style w:type="paragraph" w:styleId="Revision">
    <w:name w:val="Revision"/>
    <w:hidden/>
    <w:uiPriority w:val="99"/>
    <w:semiHidden/>
    <w:rsid w:val="00421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5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College of Osteopathic Medicine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J. Koch</dc:creator>
  <cp:keywords/>
  <dc:description/>
  <cp:lastModifiedBy>Douglas J. Koch</cp:lastModifiedBy>
  <cp:revision>14</cp:revision>
  <dcterms:created xsi:type="dcterms:W3CDTF">2018-03-13T13:56:00Z</dcterms:created>
  <dcterms:modified xsi:type="dcterms:W3CDTF">2018-03-14T22:49:00Z</dcterms:modified>
</cp:coreProperties>
</file>